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ХМАО - Югры от 10.02.2024 N 45-п</w:t>
              <w:br/>
              <w:t xml:space="preserve">"О выделении бюджетных ассигнований из резервного фонда Правительства Ханты-Мансийского автономного округа - Югры"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14.03.2024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ХАНТЫ-МАНСИЙСКОГО АВТОНОМНОГО ОКРУГА - ЮГРЫ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10 февраля 2024 г. N 45-п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ВЫДЕЛЕНИИ БЮДЖЕТНЫХ АССИГНОВАНИЙ ИЗ РЕЗЕРВНОГО ФОНДА</w:t>
      </w:r>
    </w:p>
    <w:p>
      <w:pPr>
        <w:pStyle w:val="2"/>
        <w:jc w:val="center"/>
      </w:pPr>
      <w:r>
        <w:rPr>
          <w:sz w:val="20"/>
        </w:rPr>
        <w:t xml:space="preserve">ПРАВИТЕЛЬСТВА ХАНТЫ-МАНСИЙСКОГО АВТОНОМНОГО ОКРУГА - ЮГРЫ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Руководствуясь </w:t>
      </w:r>
      <w:hyperlink w:history="0" r:id="rId7" w:tooltip="Постановление Правительства ХМАО - Югры от 07.05.2008 N 99-п (ред. от 08.09.2022) &quot;Об утверждении Порядка использования бюджетных ассигнований резервного фонда Правительства Ханты-Мансийского автономного округа - Югры&quot; (вместе с &quot;Порядком использования бюджетных ассигнований резервного фонда Правительства автономного округа&quot;) ------------ Недействующая редакция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Ханты-Мансийского автономного округа - Югры от 7 мая 2008 года N 99-п "Об утверждении Порядка использования бюджетных ассигнований резервного фонда Правительства Ханты-Мансийского автономного округа - Югры", Правительство Ханты-Мансийского автономного округа - Югры постановляет: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Выделить Департаменту строительства и жилищно-коммунального комплекса Ханты-Мансийского автономного округа - Югры бюджетные ассигнования из резервного фонда Правительства Ханты-Мансийского автономного округа - Югры в размере 293 783,7 тыс. рублей для предоставления иных межбюджетных трансфертов бюджетам городских округов и муниципальных районов Ханты-Мансийского автономного округа - Югры на финансовое обеспечение непредвиденных расходов, необходимость в которых возникла после принятия бюджета Ханты-Мансийского автономного округа - Югры на 2024 год, в целях оплаты задолженности организаций коммунального комплекса за потребленный газ согласно </w:t>
      </w:r>
      <w:hyperlink w:history="0" w:anchor="P30" w:tooltip="РАСПРЕДЕЛЕНИЕ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Перечисление средств из резервного фонда Правительства Ханты-Мансийского автономного округа - Югры органам местного самоуправления муниципальных образований Ханты-Мансийского автономного округа - Югры, указанных в </w:t>
      </w:r>
      <w:hyperlink w:history="0" w:anchor="P30" w:tooltip="РАСПРЕДЕЛЕНИЕ">
        <w:r>
          <w:rPr>
            <w:sz w:val="20"/>
            <w:color w:val="0000ff"/>
          </w:rPr>
          <w:t xml:space="preserve">приложении</w:t>
        </w:r>
      </w:hyperlink>
      <w:r>
        <w:rPr>
          <w:sz w:val="20"/>
        </w:rPr>
        <w:t xml:space="preserve"> к настоящему постановлению, осуществляется при условии утверждения ими порядка предоставления субсидии из бюджетов муниципальных образований Ханты-Мансийского автономного округа - Югры организациям коммунального комплекса, заключения соглашения между муниципальным образованием Ханты-Мансийского автономного округа - Югры и организацией коммунального комплекса, включающего план мероприятий по недопущению образования кредиторской задолженности.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Рекомендовать главам муниципальных образований Ханты-Мансийского автономного округа - Югры, указанных в </w:t>
      </w:r>
      <w:hyperlink w:history="0" w:anchor="P30" w:tooltip="РАСПРЕДЕЛЕНИЕ">
        <w:r>
          <w:rPr>
            <w:sz w:val="20"/>
            <w:color w:val="0000ff"/>
          </w:rPr>
          <w:t xml:space="preserve">приложении</w:t>
        </w:r>
      </w:hyperlink>
      <w:r>
        <w:rPr>
          <w:sz w:val="20"/>
        </w:rPr>
        <w:t xml:space="preserve"> к настоящему постановлению, обеспечить: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 Исполнение соглашений между организациями коммунального комплекса и поставщиками энергоресурсов, направленных на распределение суммы средств, поступающих от потребителей коммунальных услуг, в пользу оплаты договоров газоснабжения в целях обеспечения оплаты текущих платежей за потребленный газ.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Принятие мер, направленных на недопущение образования задолженности организаций коммунального комплекса за потребленный газ, и направить до 13 февраля 2024 года соответствующую информацию в Департамент строительства и жилищно-коммунального комплекса Ханты-Мансийского автономного округа - Югры.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</w:t>
      </w:r>
    </w:p>
    <w:p>
      <w:pPr>
        <w:pStyle w:val="0"/>
        <w:jc w:val="right"/>
      </w:pPr>
      <w:r>
        <w:rPr>
          <w:sz w:val="20"/>
        </w:rPr>
        <w:t xml:space="preserve">Ханты-Мансийского</w:t>
      </w:r>
    </w:p>
    <w:p>
      <w:pPr>
        <w:pStyle w:val="0"/>
        <w:jc w:val="right"/>
      </w:pPr>
      <w:r>
        <w:rPr>
          <w:sz w:val="20"/>
        </w:rPr>
        <w:t xml:space="preserve">автономного округа - Югры</w:t>
      </w:r>
    </w:p>
    <w:p>
      <w:pPr>
        <w:pStyle w:val="0"/>
        <w:jc w:val="right"/>
      </w:pPr>
      <w:r>
        <w:rPr>
          <w:sz w:val="20"/>
        </w:rPr>
        <w:t xml:space="preserve">Н.В.КОМАРОВА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Ханты-Мансийского автономного округа - Югры</w:t>
      </w:r>
    </w:p>
    <w:p>
      <w:pPr>
        <w:pStyle w:val="0"/>
        <w:jc w:val="right"/>
      </w:pPr>
      <w:r>
        <w:rPr>
          <w:sz w:val="20"/>
        </w:rPr>
        <w:t xml:space="preserve">от 10 февраля 2024 года N 45-п</w:t>
      </w:r>
    </w:p>
    <w:p>
      <w:pPr>
        <w:pStyle w:val="0"/>
      </w:pPr>
      <w:r>
        <w:rPr>
          <w:sz w:val="20"/>
        </w:rPr>
      </w:r>
    </w:p>
    <w:bookmarkStart w:id="30" w:name="P30"/>
    <w:bookmarkEnd w:id="30"/>
    <w:p>
      <w:pPr>
        <w:pStyle w:val="2"/>
        <w:jc w:val="center"/>
      </w:pPr>
      <w:r>
        <w:rPr>
          <w:sz w:val="20"/>
        </w:rPr>
        <w:t xml:space="preserve">РАСПРЕДЕЛЕНИЕ</w:t>
      </w:r>
    </w:p>
    <w:p>
      <w:pPr>
        <w:pStyle w:val="2"/>
        <w:jc w:val="center"/>
      </w:pPr>
      <w:r>
        <w:rPr>
          <w:sz w:val="20"/>
        </w:rPr>
        <w:t xml:space="preserve">БЮДЖЕТНЫХ АССИГНОВАНИЙ ИЗ РЕЗЕРВНОГО ФОНДА ПРАВИТЕЛЬСТВА</w:t>
      </w:r>
    </w:p>
    <w:p>
      <w:pPr>
        <w:pStyle w:val="2"/>
        <w:jc w:val="center"/>
      </w:pPr>
      <w:r>
        <w:rPr>
          <w:sz w:val="20"/>
        </w:rPr>
        <w:t xml:space="preserve">ХАНТЫ-МАНСИЙСКОГО АВТОНОМНОГО ОКРУГА - ЮГРЫ</w:t>
      </w:r>
    </w:p>
    <w:p>
      <w:pPr>
        <w:pStyle w:val="2"/>
        <w:jc w:val="center"/>
      </w:pPr>
      <w:r>
        <w:rPr>
          <w:sz w:val="20"/>
        </w:rPr>
        <w:t xml:space="preserve">ДЛЯ ПРЕДОСТАВЛЕНИЯ ИНЫХ МЕЖБЮДЖЕТНЫХ ТРАНСФЕРТОВ БЮДЖЕТАМ</w:t>
      </w:r>
    </w:p>
    <w:p>
      <w:pPr>
        <w:pStyle w:val="2"/>
        <w:jc w:val="center"/>
      </w:pPr>
      <w:r>
        <w:rPr>
          <w:sz w:val="20"/>
        </w:rPr>
        <w:t xml:space="preserve">ГОРОДСКИХ ОКРУГОВ И МУНИЦИПАЛЬНЫХ РАЙОНОВ НА ФИНАНСОВОЕ</w:t>
      </w:r>
    </w:p>
    <w:p>
      <w:pPr>
        <w:pStyle w:val="2"/>
        <w:jc w:val="center"/>
      </w:pPr>
      <w:r>
        <w:rPr>
          <w:sz w:val="20"/>
        </w:rPr>
        <w:t xml:space="preserve">ОБЕСПЕЧЕНИЕ НЕПРЕДВИДЕННЫХ РАСХОДОВ, НЕОБХОДИМОСТЬ В КОТОРЫХ</w:t>
      </w:r>
    </w:p>
    <w:p>
      <w:pPr>
        <w:pStyle w:val="2"/>
        <w:jc w:val="center"/>
      </w:pPr>
      <w:r>
        <w:rPr>
          <w:sz w:val="20"/>
        </w:rPr>
        <w:t xml:space="preserve">ВОЗНИКЛА ПОСЛЕ ПРИНЯТИЯ БЮДЖЕТА ХАНТЫ-МАНСИЙСКОГО</w:t>
      </w:r>
    </w:p>
    <w:p>
      <w:pPr>
        <w:pStyle w:val="2"/>
        <w:jc w:val="center"/>
      </w:pPr>
      <w:r>
        <w:rPr>
          <w:sz w:val="20"/>
        </w:rPr>
        <w:t xml:space="preserve">АВТОНОМНОГО ОКРУГА - ЮГРЫ НА 2024 ГОД, В ЦЕЛЯХ ОПЛАТЫ</w:t>
      </w:r>
    </w:p>
    <w:p>
      <w:pPr>
        <w:pStyle w:val="2"/>
        <w:jc w:val="center"/>
      </w:pPr>
      <w:r>
        <w:rPr>
          <w:sz w:val="20"/>
        </w:rPr>
        <w:t xml:space="preserve">ЗАДОЛЖЕННОСТИ ОРГАНИЗАЦИЙ КОММУНАЛЬНОГО КОМПЛЕКСА</w:t>
      </w:r>
    </w:p>
    <w:p>
      <w:pPr>
        <w:pStyle w:val="2"/>
        <w:jc w:val="center"/>
      </w:pPr>
      <w:r>
        <w:rPr>
          <w:sz w:val="20"/>
        </w:rPr>
        <w:t xml:space="preserve">ЗА ПОТРЕБЛЕННЫЙ ГАЗ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65"/>
        <w:gridCol w:w="4762"/>
        <w:gridCol w:w="2154"/>
        <w:gridCol w:w="1361"/>
      </w:tblGrid>
      <w:tr>
        <w:tc>
          <w:tcPr>
            <w:tcW w:w="66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76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муниципального образования Ханты-Мансийского автономного округа - Югры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Направление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Сумма, тыс. рублей</w:t>
            </w:r>
          </w:p>
        </w:tc>
      </w:tr>
      <w:tr>
        <w:tc>
          <w:tcPr>
            <w:tcW w:w="66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476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gridSpan w:val="4"/>
            <w:tcW w:w="894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Департамент строительства и жилищно-коммунального комплекса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Ханты-Мансийского автономного округа - Югры</w:t>
            </w:r>
          </w:p>
        </w:tc>
      </w:tr>
      <w:tr>
        <w:tc>
          <w:tcPr>
            <w:tcW w:w="665" w:type="dxa"/>
          </w:tcPr>
          <w:p>
            <w:pPr>
              <w:pStyle w:val="0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Белоярский муниципальный район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в целях оплаты задолженности организаций коммунального комплекса за потребленные топливно-энергетические ресурсы</w:t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0"/>
              </w:rPr>
              <w:t xml:space="preserve">21 900,0</w:t>
            </w:r>
          </w:p>
        </w:tc>
      </w:tr>
      <w:tr>
        <w:tc>
          <w:tcPr>
            <w:tcW w:w="665" w:type="dxa"/>
          </w:tcPr>
          <w:p>
            <w:pPr>
              <w:pStyle w:val="0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Березовский муниципальный район</w:t>
            </w:r>
          </w:p>
        </w:tc>
        <w:tc>
          <w:tcPr>
            <w:vMerge w:val="continue"/>
          </w:tcPr>
          <w:p/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0"/>
              </w:rPr>
              <w:t xml:space="preserve">13 623,1</w:t>
            </w:r>
          </w:p>
        </w:tc>
      </w:tr>
      <w:tr>
        <w:tc>
          <w:tcPr>
            <w:tcW w:w="665" w:type="dxa"/>
          </w:tcPr>
          <w:p>
            <w:pPr>
              <w:pStyle w:val="0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городской округ Мегион</w:t>
            </w:r>
          </w:p>
        </w:tc>
        <w:tc>
          <w:tcPr>
            <w:vMerge w:val="continue"/>
          </w:tcPr>
          <w:p/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0"/>
              </w:rPr>
              <w:t xml:space="preserve">77 305,6</w:t>
            </w:r>
          </w:p>
        </w:tc>
      </w:tr>
      <w:tr>
        <w:tc>
          <w:tcPr>
            <w:tcW w:w="665" w:type="dxa"/>
          </w:tcPr>
          <w:p>
            <w:pPr>
              <w:pStyle w:val="0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городской округ Нягань</w:t>
            </w:r>
          </w:p>
        </w:tc>
        <w:tc>
          <w:tcPr>
            <w:vMerge w:val="continue"/>
          </w:tcPr>
          <w:p/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0"/>
              </w:rPr>
              <w:t xml:space="preserve">28 866,4</w:t>
            </w:r>
          </w:p>
        </w:tc>
      </w:tr>
      <w:tr>
        <w:tc>
          <w:tcPr>
            <w:tcW w:w="665" w:type="dxa"/>
          </w:tcPr>
          <w:p>
            <w:pPr>
              <w:pStyle w:val="0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городской округ Пыть-Ях</w:t>
            </w:r>
          </w:p>
        </w:tc>
        <w:tc>
          <w:tcPr>
            <w:vMerge w:val="continue"/>
          </w:tcPr>
          <w:p/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0"/>
              </w:rPr>
              <w:t xml:space="preserve">48 980,7</w:t>
            </w:r>
          </w:p>
        </w:tc>
      </w:tr>
      <w:tr>
        <w:tc>
          <w:tcPr>
            <w:tcW w:w="665" w:type="dxa"/>
          </w:tcPr>
          <w:p>
            <w:pPr>
              <w:pStyle w:val="0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городской округ Югорск</w:t>
            </w:r>
          </w:p>
        </w:tc>
        <w:tc>
          <w:tcPr>
            <w:vMerge w:val="continue"/>
          </w:tcPr>
          <w:p/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0"/>
              </w:rPr>
              <w:t xml:space="preserve">28 375,2</w:t>
            </w:r>
          </w:p>
        </w:tc>
      </w:tr>
      <w:tr>
        <w:tc>
          <w:tcPr>
            <w:tcW w:w="665" w:type="dxa"/>
          </w:tcPr>
          <w:p>
            <w:pPr>
              <w:pStyle w:val="0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Нефтеюганский муниципальный район</w:t>
            </w:r>
          </w:p>
        </w:tc>
        <w:tc>
          <w:tcPr>
            <w:vMerge w:val="continue"/>
          </w:tcPr>
          <w:p/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0"/>
              </w:rPr>
              <w:t xml:space="preserve">25 613,4</w:t>
            </w:r>
          </w:p>
        </w:tc>
      </w:tr>
      <w:tr>
        <w:tc>
          <w:tcPr>
            <w:tcW w:w="665" w:type="dxa"/>
          </w:tcPr>
          <w:p>
            <w:pPr>
              <w:pStyle w:val="0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Октябрьский муниципальный район</w:t>
            </w:r>
          </w:p>
        </w:tc>
        <w:tc>
          <w:tcPr>
            <w:vMerge w:val="continue"/>
          </w:tcPr>
          <w:p/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0"/>
              </w:rPr>
              <w:t xml:space="preserve">7 477,1</w:t>
            </w:r>
          </w:p>
        </w:tc>
      </w:tr>
      <w:tr>
        <w:tc>
          <w:tcPr>
            <w:tcW w:w="665" w:type="dxa"/>
          </w:tcPr>
          <w:p>
            <w:pPr>
              <w:pStyle w:val="0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Советский муниципальный район</w:t>
            </w:r>
          </w:p>
        </w:tc>
        <w:tc>
          <w:tcPr>
            <w:vMerge w:val="continue"/>
          </w:tcPr>
          <w:p/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0"/>
              </w:rPr>
              <w:t xml:space="preserve">29 000,0</w:t>
            </w:r>
          </w:p>
        </w:tc>
      </w:tr>
      <w:tr>
        <w:tc>
          <w:tcPr>
            <w:tcW w:w="665" w:type="dxa"/>
          </w:tcPr>
          <w:p>
            <w:pPr>
              <w:pStyle w:val="0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Ханты-Мансийский район</w:t>
            </w:r>
          </w:p>
        </w:tc>
        <w:tc>
          <w:tcPr>
            <w:vMerge w:val="continue"/>
          </w:tcPr>
          <w:p/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0"/>
              </w:rPr>
              <w:t xml:space="preserve">12 642,2</w:t>
            </w:r>
          </w:p>
        </w:tc>
      </w:tr>
      <w:tr>
        <w:tc>
          <w:tcPr>
            <w:tcW w:w="66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Итого:</w:t>
            </w:r>
          </w:p>
        </w:tc>
        <w:tc>
          <w:tcPr>
            <w:vMerge w:val="continue"/>
          </w:tcPr>
          <w:p/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0"/>
              </w:rPr>
              <w:t xml:space="preserve">293 783,7</w:t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ХМАО - Югры от 10.02.2024 N 45-п</w:t>
            <w:br/>
            <w:t>"О выделении бюджетных ассигнований из резервного фонда Пра...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14.03.2024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926&amp;n=26339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4023.00.53</Application>
  <Company>КонсультантПлюс Версия 4023.00.53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ХМАО - Югры от 10.02.2024 N 45-п
"О выделении бюджетных ассигнований из резервного фонда Правительства Ханты-Мансийского автономного округа - Югры"</dc:title>
  <dcterms:created xsi:type="dcterms:W3CDTF">2024-03-14T11:01:39Z</dcterms:created>
</cp:coreProperties>
</file>